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335" w:line="240" w:lineRule="auto"/>
        <w:ind w:left="0" w:right="0" w:firstLine="0"/>
        <w:jc w:val="both"/>
        <w:rPr>
          <w:rFonts w:ascii="Helvetica" w:hAnsi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14:textFill>
            <w14:solidFill>
              <w14:srgbClr w14:val="279ED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14:textFill>
            <w14:solidFill>
              <w14:srgbClr w14:val="279ED4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67029</wp:posOffset>
            </wp:positionH>
            <wp:positionV relativeFrom="page">
              <wp:posOffset>0</wp:posOffset>
            </wp:positionV>
            <wp:extent cx="1092524" cy="1092524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24" cy="1092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after="335" w:line="240" w:lineRule="auto"/>
        <w:ind w:left="0" w:right="0" w:firstLine="0"/>
        <w:jc w:val="both"/>
        <w:rPr>
          <w:rFonts w:ascii="Helvetica" w:hAnsi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14:textFill>
            <w14:solidFill>
              <w14:srgbClr w14:val="279ED4"/>
            </w14:solidFill>
          </w14:textFill>
        </w:rPr>
      </w:pPr>
    </w:p>
    <w:p>
      <w:pPr>
        <w:pStyle w:val="Par défaut"/>
        <w:bidi w:val="0"/>
        <w:spacing w:before="0" w:after="335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14:textFill>
            <w14:solidFill>
              <w14:srgbClr w14:val="279ED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79ED4"/>
            </w14:solidFill>
          </w14:textFill>
        </w:rPr>
        <w:t>Grilles indiciaires de la cat</w:t>
      </w:r>
      <w:r>
        <w:rPr>
          <w:rFonts w:ascii="Helvetica" w:hAnsi="Helvetica" w:hint="default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79ED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269ed3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279ED4"/>
            </w14:solidFill>
          </w14:textFill>
        </w:rPr>
        <w:t>gorie C au 1er janvier 2023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>Nouvelle grille C1 effective au 1</w:t>
      </w:r>
      <w:r>
        <w:rPr>
          <w:rStyle w:val="Aucun"/>
          <w:rFonts w:ascii="Helvetica" w:hAnsi="Helvetica"/>
          <w:sz w:val="32"/>
          <w:szCs w:val="32"/>
          <w:shd w:val="clear" w:color="auto" w:fill="ffffff"/>
          <w:vertAlign w:val="superscript"/>
          <w:rtl w:val="0"/>
        </w:rPr>
        <w:t>er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 xml:space="preserve"> janvier 2023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6"/>
        <w:gridCol w:w="2030"/>
        <w:gridCol w:w="1854"/>
        <w:gridCol w:w="3928"/>
      </w:tblGrid>
      <w:tr>
        <w:tblPrEx>
          <w:shd w:val="clear" w:color="auto" w:fill="auto"/>
        </w:tblPrEx>
        <w:trPr>
          <w:trHeight w:val="96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chelon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Indice major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Dur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 en ann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es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Traitement mensuel brut en euros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1852,71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372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1804,21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1760,56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1716,56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7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6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5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4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2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</w:t>
            </w:r>
          </w:p>
        </w:tc>
        <w:tc>
          <w:tcPr>
            <w:tcW w:type="dxa" w:w="2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</w:tbl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-87629</wp:posOffset>
            </wp:positionH>
            <wp:positionV relativeFrom="line">
              <wp:posOffset>64616</wp:posOffset>
            </wp:positionV>
            <wp:extent cx="1089448" cy="1089448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48" cy="1089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>Nouvelle grille C2 effective au 1</w:t>
      </w:r>
      <w:r>
        <w:rPr>
          <w:rStyle w:val="Aucun"/>
          <w:rFonts w:ascii="Helvetica" w:hAnsi="Helvetica"/>
          <w:sz w:val="32"/>
          <w:szCs w:val="32"/>
          <w:shd w:val="clear" w:color="auto" w:fill="ffffff"/>
          <w:vertAlign w:val="superscript"/>
          <w:rtl w:val="0"/>
        </w:rPr>
        <w:t>er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 xml:space="preserve"> janvier 2023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9"/>
        <w:gridCol w:w="2084"/>
        <w:gridCol w:w="1894"/>
        <w:gridCol w:w="3901"/>
      </w:tblGrid>
      <w:tr>
        <w:tblPrEx>
          <w:shd w:val="clear" w:color="auto" w:fill="auto"/>
        </w:tblPrEx>
        <w:trPr>
          <w:trHeight w:val="96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chelon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Indice major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Dur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 en ann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es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Traitement brut mensuel en euros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2037,01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1998,21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404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1959,41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392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1901,21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1843,01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370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1794,51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1770,26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360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1746,01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354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1716,91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2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353</w:t>
            </w:r>
          </w:p>
        </w:tc>
        <w:tc>
          <w:tcPr>
            <w:tcW w:type="dxa" w:w="18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df3e2c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03E2D"/>
                  </w14:solidFill>
                </w14:textFill>
              </w:rPr>
              <w:t>1712,06</w:t>
            </w:r>
          </w:p>
        </w:tc>
      </w:tr>
    </w:tbl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-69760</wp:posOffset>
            </wp:positionV>
            <wp:extent cx="1091075" cy="1091075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75" cy="109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>Grille C3 au 1</w:t>
      </w:r>
      <w:r>
        <w:rPr>
          <w:rStyle w:val="Aucun"/>
          <w:rFonts w:ascii="Helvetica" w:hAnsi="Helvetica"/>
          <w:sz w:val="32"/>
          <w:szCs w:val="32"/>
          <w:shd w:val="clear" w:color="auto" w:fill="ffffff"/>
          <w:vertAlign w:val="superscript"/>
          <w:rtl w:val="0"/>
        </w:rPr>
        <w:t>er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fr-FR"/>
        </w:rPr>
        <w:t xml:space="preserve"> janvier 2023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Cette grille n'est pas concern</w:t>
      </w:r>
      <w:r>
        <w:rPr>
          <w:rFonts w:ascii="Helvetica" w:hAnsi="Helvetica" w:hint="default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fr-FR"/>
        </w:rPr>
        <w:t>e par la hausse du minimum de traitement.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</w:rPr>
        <w:t> </w:t>
      </w: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77"/>
        <w:gridCol w:w="2166"/>
        <w:gridCol w:w="1867"/>
        <w:gridCol w:w="3928"/>
      </w:tblGrid>
      <w:tr>
        <w:tblPrEx>
          <w:shd w:val="clear" w:color="auto" w:fill="auto"/>
        </w:tblPrEx>
        <w:trPr>
          <w:trHeight w:val="96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chelon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Indice major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Dur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 en ann</w:t>
            </w:r>
            <w:r>
              <w:rPr>
                <w:rFonts w:ascii="Helvetica" w:hAnsi="Helvetica" w:hint="default"/>
                <w:sz w:val="40"/>
                <w:szCs w:val="40"/>
                <w:shd w:val="clear" w:color="auto" w:fill="ffffff"/>
                <w:rtl w:val="0"/>
              </w:rPr>
              <w:t>é</w:t>
            </w: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es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e de tableau 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40"/>
                <w:szCs w:val="40"/>
                <w:shd w:val="clear" w:color="auto" w:fill="ffffff"/>
                <w:rtl w:val="0"/>
              </w:rPr>
              <w:t>Traitement mensuel brut en euros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2264,06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2182,51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2085,51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415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2012,76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1954,56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393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1906,06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380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1843,01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368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1784,81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361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1750,86</w:t>
            </w:r>
          </w:p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1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8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0"/>
                <w:szCs w:val="40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1721,76</w:t>
            </w:r>
          </w:p>
        </w:tc>
      </w:tr>
    </w:tbl>
    <w:p>
      <w:pPr>
        <w:pStyle w:val="Par défau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